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7</w:t>
      </w:r>
    </w:p>
    <w:p w:rsidR="00000000" w:rsidDel="00000000" w:rsidP="00000000" w:rsidRDefault="00000000" w:rsidRPr="00000000" w14:paraId="00000002">
      <w:pPr>
        <w:ind w:right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MODELO DE DECLARAÇÃO PARA PESSOAS COM DEFICIÊNCIA </w:t>
      </w:r>
    </w:p>
    <w:p w:rsidR="00000000" w:rsidDel="00000000" w:rsidP="00000000" w:rsidRDefault="00000000" w:rsidRPr="00000000" w14:paraId="00000004">
      <w:pPr>
        <w:ind w:right="0"/>
        <w:jc w:val="center"/>
        <w:rPr/>
      </w:pPr>
      <w:r w:rsidDel="00000000" w:rsidR="00000000" w:rsidRPr="00000000">
        <w:rPr>
          <w:rtl w:val="0"/>
        </w:rPr>
        <w:t xml:space="preserve">25º EDITAL CEARÁ JUNINO PARA QUADRILHAS JUNINAS - 2025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De acordo com os dispositivos da Convenção sobre os Direitos das Pessoas com Deficiência, Lei Brasileira de Inclusão – Estatuto da Pessoa com Deficiência - Lei n°13.146/2015 e Lei n°12.764/2012. 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Nome: </w:t>
      </w:r>
      <w:r w:rsidDel="00000000" w:rsidR="00000000" w:rsidRPr="00000000">
        <w:rPr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CPF: </w:t>
      </w:r>
      <w:r w:rsidDel="00000000" w:rsidR="00000000" w:rsidRPr="00000000">
        <w:rPr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CID (Classificação Internacional de Doenças): </w:t>
      </w:r>
      <w:r w:rsidDel="00000000" w:rsidR="00000000" w:rsidRPr="00000000">
        <w:rPr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Assinale, a seguir, o tipo de deficiência da pessoa proponente: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Deficiência Auditiva 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Deficiência Física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Deficiência Visual 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Deficiência Intelectual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Deficiência Múltipla </w:t>
      </w:r>
    </w:p>
    <w:p w:rsidR="00000000" w:rsidDel="00000000" w:rsidP="00000000" w:rsidRDefault="00000000" w:rsidRPr="00000000" w14:paraId="0000001D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Outra</w:t>
      </w:r>
    </w:p>
    <w:p w:rsidR="00000000" w:rsidDel="00000000" w:rsidP="00000000" w:rsidRDefault="00000000" w:rsidRPr="00000000" w14:paraId="0000001F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Especifique / detalhe a condição da deficiência: 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23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_________________, ____ de __________________ de 2025.</w:t>
      </w:r>
    </w:p>
    <w:p w:rsidR="00000000" w:rsidDel="00000000" w:rsidP="00000000" w:rsidRDefault="00000000" w:rsidRPr="00000000" w14:paraId="00000025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(Local e data)</w:t>
      </w:r>
    </w:p>
    <w:p w:rsidR="00000000" w:rsidDel="00000000" w:rsidP="00000000" w:rsidRDefault="00000000" w:rsidRPr="00000000" w14:paraId="00000026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29">
      <w:pPr>
        <w:widowControl w:val="0"/>
        <w:spacing w:line="240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Assinatura e carimbo com CRM do Profissional de nível superior da área da saúde/Especialidade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widowControl w:val="0"/>
      <w:spacing w:after="60" w:before="200" w:line="216" w:lineRule="auto"/>
      <w:ind w:left="-566.9291338582677" w:right="-301.062992125984" w:firstLine="0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</w:t>
    </w:r>
  </w:p>
  <w:p w:rsidR="00000000" w:rsidDel="00000000" w:rsidP="00000000" w:rsidRDefault="00000000" w:rsidRPr="00000000" w14:paraId="0000002D">
    <w:pPr>
      <w:widowControl w:val="0"/>
      <w:spacing w:line="240" w:lineRule="auto"/>
      <w:ind w:left="-566.9291338582677" w:right="-301.062992125984" w:firstLine="0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Dr. João Moreira, 540, Complexo Cultural Estação das Artes</w:t>
    </w:r>
  </w:p>
  <w:p w:rsidR="00000000" w:rsidDel="00000000" w:rsidP="00000000" w:rsidRDefault="00000000" w:rsidRPr="00000000" w14:paraId="0000002E">
    <w:pPr>
      <w:widowControl w:val="0"/>
      <w:spacing w:line="240" w:lineRule="auto"/>
      <w:ind w:left="-566.9291338582677" w:right="-301.062992125984" w:firstLine="0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Centro,  CEP: 60.030-000</w:t>
      <w:br w:type="textWrapping"/>
      <w:t xml:space="preserve">Fortaleza / CE, Fone: (85) 31016770</w:t>
    </w:r>
  </w:p>
  <w:p w:rsidR="00000000" w:rsidDel="00000000" w:rsidP="00000000" w:rsidRDefault="00000000" w:rsidRPr="00000000" w14:paraId="0000002F">
    <w:pPr>
      <w:widowControl w:val="0"/>
      <w:spacing w:line="240" w:lineRule="auto"/>
      <w:ind w:left="-566.9291338582677" w:right="-301.062992125984" w:firstLine="0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-1695448</wp:posOffset>
          </wp:positionH>
          <wp:positionV relativeFrom="paragraph">
            <wp:posOffset>250019</wp:posOffset>
          </wp:positionV>
          <wp:extent cx="8753475" cy="358375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2570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